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8A" w:rsidRDefault="00ED0E8A" w:rsidP="00E54D61">
      <w:pPr>
        <w:widowControl/>
        <w:spacing w:line="300" w:lineRule="atLeast"/>
        <w:jc w:val="center"/>
        <w:rPr>
          <w:rFonts w:ascii="仿宋_GB2312" w:eastAsia="仿宋_GB2312" w:hint="eastAsia"/>
          <w:sz w:val="28"/>
          <w:szCs w:val="28"/>
        </w:rPr>
      </w:pPr>
    </w:p>
    <w:p w:rsidR="00ED0E8A" w:rsidRDefault="00ED0E8A" w:rsidP="00E54D61">
      <w:pPr>
        <w:widowControl/>
        <w:spacing w:line="300" w:lineRule="atLeast"/>
        <w:jc w:val="center"/>
        <w:rPr>
          <w:rFonts w:ascii="仿宋_GB2312" w:eastAsia="仿宋_GB2312" w:hint="eastAsia"/>
          <w:sz w:val="28"/>
          <w:szCs w:val="28"/>
        </w:rPr>
      </w:pPr>
    </w:p>
    <w:p w:rsidR="00ED0E8A" w:rsidRDefault="00ED0E8A" w:rsidP="00E54D61">
      <w:pPr>
        <w:widowControl/>
        <w:spacing w:line="300" w:lineRule="atLeast"/>
        <w:jc w:val="center"/>
        <w:rPr>
          <w:rFonts w:ascii="仿宋_GB2312" w:eastAsia="仿宋_GB2312" w:hint="eastAsia"/>
          <w:sz w:val="28"/>
          <w:szCs w:val="28"/>
        </w:rPr>
      </w:pPr>
    </w:p>
    <w:p w:rsidR="00ED0E8A" w:rsidRDefault="00ED0E8A" w:rsidP="00E54D61">
      <w:pPr>
        <w:widowControl/>
        <w:spacing w:line="300" w:lineRule="atLeast"/>
        <w:jc w:val="center"/>
        <w:rPr>
          <w:rFonts w:ascii="仿宋_GB2312" w:eastAsia="仿宋_GB2312" w:hint="eastAsia"/>
          <w:sz w:val="28"/>
          <w:szCs w:val="28"/>
        </w:rPr>
      </w:pPr>
    </w:p>
    <w:p w:rsidR="00FA4A2D" w:rsidRDefault="00ED0E8A" w:rsidP="00E54D61">
      <w:pPr>
        <w:widowControl/>
        <w:spacing w:line="300" w:lineRule="atLeast"/>
        <w:jc w:val="center"/>
        <w:rPr>
          <w:rFonts w:ascii="仿宋_GB2312" w:eastAsia="仿宋_GB2312" w:hint="eastAsia"/>
          <w:sz w:val="28"/>
          <w:szCs w:val="28"/>
        </w:rPr>
      </w:pPr>
      <w:r w:rsidRPr="00ED0E8A">
        <w:rPr>
          <w:rFonts w:ascii="仿宋_GB2312" w:eastAsia="仿宋_GB2312" w:hint="eastAsia"/>
          <w:sz w:val="28"/>
          <w:szCs w:val="28"/>
        </w:rPr>
        <w:t>龙民</w:t>
      </w:r>
      <w:r w:rsidRPr="00DE2B93">
        <w:rPr>
          <w:rFonts w:ascii="仿宋_GB2312" w:eastAsia="仿宋_GB2312" w:hint="eastAsia"/>
          <w:sz w:val="28"/>
          <w:szCs w:val="28"/>
        </w:rPr>
        <w:t>〔201</w:t>
      </w:r>
      <w:r>
        <w:rPr>
          <w:rFonts w:ascii="仿宋_GB2312" w:eastAsia="仿宋_GB2312" w:hint="eastAsia"/>
          <w:sz w:val="28"/>
          <w:szCs w:val="28"/>
        </w:rPr>
        <w:t>7</w:t>
      </w:r>
      <w:r w:rsidRPr="00DE2B93">
        <w:rPr>
          <w:rFonts w:ascii="仿宋_GB2312" w:eastAsia="仿宋_GB2312" w:hint="eastAsia"/>
          <w:sz w:val="28"/>
          <w:szCs w:val="28"/>
        </w:rPr>
        <w:t>〕</w:t>
      </w:r>
      <w:r>
        <w:rPr>
          <w:rFonts w:ascii="仿宋_GB2312" w:eastAsia="仿宋_GB2312" w:hint="eastAsia"/>
          <w:sz w:val="28"/>
          <w:szCs w:val="28"/>
        </w:rPr>
        <w:t>65号</w:t>
      </w:r>
    </w:p>
    <w:p w:rsidR="00ED0E8A" w:rsidRDefault="00ED0E8A" w:rsidP="00E54D61">
      <w:pPr>
        <w:widowControl/>
        <w:spacing w:line="300" w:lineRule="atLeast"/>
        <w:jc w:val="center"/>
        <w:rPr>
          <w:rFonts w:asciiTheme="majorEastAsia" w:eastAsiaTheme="majorEastAsia" w:hAnsiTheme="majorEastAsia" w:cs="宋体"/>
          <w:b/>
          <w:bCs/>
          <w:color w:val="000000"/>
          <w:kern w:val="0"/>
          <w:sz w:val="44"/>
          <w:szCs w:val="44"/>
        </w:rPr>
      </w:pPr>
    </w:p>
    <w:p w:rsidR="00E54D61" w:rsidRDefault="00E54D61" w:rsidP="00E54D61">
      <w:pPr>
        <w:widowControl/>
        <w:spacing w:line="300" w:lineRule="atLeast"/>
        <w:jc w:val="center"/>
        <w:rPr>
          <w:rFonts w:asciiTheme="majorEastAsia" w:eastAsiaTheme="majorEastAsia" w:hAnsiTheme="majorEastAsia" w:cs="宋体"/>
          <w:b/>
          <w:bCs/>
          <w:color w:val="000000"/>
          <w:kern w:val="0"/>
          <w:sz w:val="44"/>
          <w:szCs w:val="44"/>
        </w:rPr>
      </w:pPr>
      <w:r w:rsidRPr="00E54D61">
        <w:rPr>
          <w:rFonts w:asciiTheme="majorEastAsia" w:eastAsiaTheme="majorEastAsia" w:hAnsiTheme="majorEastAsia" w:cs="宋体"/>
          <w:b/>
          <w:bCs/>
          <w:color w:val="000000"/>
          <w:kern w:val="0"/>
          <w:sz w:val="44"/>
          <w:szCs w:val="44"/>
        </w:rPr>
        <w:t>关于开展2016年度社会团体和民办</w:t>
      </w:r>
    </w:p>
    <w:p w:rsidR="00E54D61" w:rsidRPr="00E54D61" w:rsidRDefault="00E54D61" w:rsidP="00E54D61">
      <w:pPr>
        <w:widowControl/>
        <w:spacing w:line="300" w:lineRule="atLeast"/>
        <w:jc w:val="center"/>
        <w:rPr>
          <w:rFonts w:asciiTheme="majorEastAsia" w:eastAsiaTheme="majorEastAsia" w:hAnsiTheme="majorEastAsia" w:cs="宋体"/>
          <w:color w:val="000000"/>
          <w:kern w:val="0"/>
          <w:sz w:val="44"/>
          <w:szCs w:val="44"/>
        </w:rPr>
      </w:pPr>
      <w:r w:rsidRPr="00E54D61">
        <w:rPr>
          <w:rFonts w:asciiTheme="majorEastAsia" w:eastAsiaTheme="majorEastAsia" w:hAnsiTheme="majorEastAsia" w:cs="宋体"/>
          <w:b/>
          <w:bCs/>
          <w:color w:val="000000"/>
          <w:kern w:val="0"/>
          <w:sz w:val="44"/>
          <w:szCs w:val="44"/>
        </w:rPr>
        <w:t>非企业单位年检工作的通知</w:t>
      </w:r>
    </w:p>
    <w:p w:rsidR="00FA4A2D" w:rsidRDefault="00FA4A2D" w:rsidP="007F21C2">
      <w:pPr>
        <w:pStyle w:val="a4"/>
        <w:wordWrap w:val="0"/>
        <w:snapToGrid w:val="0"/>
        <w:contextualSpacing/>
        <w:rPr>
          <w:rFonts w:ascii="仿宋_GB2312" w:eastAsia="仿宋_GB2312"/>
          <w:color w:val="444444"/>
          <w:sz w:val="32"/>
          <w:szCs w:val="32"/>
        </w:rPr>
      </w:pPr>
    </w:p>
    <w:p w:rsidR="00E54D61" w:rsidRDefault="00E54D61" w:rsidP="00FA4A2D">
      <w:pPr>
        <w:pStyle w:val="a4"/>
        <w:widowControl w:val="0"/>
        <w:wordWrap w:val="0"/>
        <w:snapToGrid w:val="0"/>
        <w:spacing w:before="0" w:beforeAutospacing="0" w:after="0" w:afterAutospacing="0" w:line="560" w:lineRule="exact"/>
        <w:rPr>
          <w:rFonts w:ascii="仿宋_GB2312" w:eastAsia="仿宋_GB2312"/>
          <w:color w:val="444444"/>
          <w:sz w:val="32"/>
          <w:szCs w:val="32"/>
        </w:rPr>
      </w:pPr>
      <w:r w:rsidRPr="00E54D61">
        <w:rPr>
          <w:rFonts w:ascii="仿宋_GB2312" w:eastAsia="仿宋_GB2312" w:hint="eastAsia"/>
          <w:color w:val="444444"/>
          <w:sz w:val="32"/>
          <w:szCs w:val="32"/>
        </w:rPr>
        <w:t xml:space="preserve">全市性社会团体、市级民办非企业单位： </w:t>
      </w:r>
    </w:p>
    <w:p w:rsidR="00E54D61" w:rsidRPr="00E54D61" w:rsidRDefault="00E54D61" w:rsidP="00FA4A2D">
      <w:pPr>
        <w:pStyle w:val="a4"/>
        <w:widowControl w:val="0"/>
        <w:wordWrap w:val="0"/>
        <w:snapToGrid w:val="0"/>
        <w:spacing w:before="0" w:beforeAutospacing="0" w:after="0" w:afterAutospacing="0" w:line="560" w:lineRule="exact"/>
        <w:ind w:firstLineChars="200" w:firstLine="640"/>
        <w:rPr>
          <w:rFonts w:ascii="仿宋_GB2312" w:eastAsia="仿宋_GB2312"/>
          <w:color w:val="444444"/>
          <w:sz w:val="32"/>
          <w:szCs w:val="32"/>
        </w:rPr>
      </w:pPr>
      <w:r w:rsidRPr="00E54D61">
        <w:rPr>
          <w:rFonts w:ascii="仿宋_GB2312" w:eastAsia="仿宋_GB2312" w:hint="eastAsia"/>
          <w:color w:val="444444"/>
          <w:sz w:val="32"/>
          <w:szCs w:val="32"/>
        </w:rPr>
        <w:t>根据国务院《社会团体登记管理条例》、《民办非企业单位登记管理暂行条例》规定，现将2016年度社会团体、民办非企业单位年检工作的有关事项通知如下：</w:t>
      </w:r>
    </w:p>
    <w:p w:rsidR="00E54D61" w:rsidRPr="00FA4A2D" w:rsidRDefault="007F21C2" w:rsidP="00FA4A2D">
      <w:pPr>
        <w:pStyle w:val="a4"/>
        <w:widowControl w:val="0"/>
        <w:wordWrap w:val="0"/>
        <w:snapToGrid w:val="0"/>
        <w:spacing w:before="0" w:beforeAutospacing="0" w:after="0" w:afterAutospacing="0" w:line="560" w:lineRule="exact"/>
        <w:jc w:val="both"/>
        <w:rPr>
          <w:rFonts w:ascii="仿宋_GB2312" w:eastAsia="仿宋_GB2312"/>
          <w:b/>
          <w:color w:val="444444"/>
          <w:sz w:val="32"/>
          <w:szCs w:val="32"/>
        </w:rPr>
      </w:pPr>
      <w:r>
        <w:rPr>
          <w:rFonts w:ascii="仿宋_GB2312" w:eastAsia="仿宋_GB2312" w:hint="eastAsia"/>
          <w:color w:val="444444"/>
          <w:sz w:val="32"/>
          <w:szCs w:val="32"/>
        </w:rPr>
        <w:t xml:space="preserve">　　</w:t>
      </w:r>
      <w:r w:rsidR="00E54D61" w:rsidRPr="00FA4A2D">
        <w:rPr>
          <w:rFonts w:ascii="仿宋_GB2312" w:eastAsia="仿宋_GB2312" w:hint="eastAsia"/>
          <w:b/>
          <w:color w:val="444444"/>
          <w:sz w:val="32"/>
          <w:szCs w:val="32"/>
        </w:rPr>
        <w:t>一、年检对象</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凡于2016年6月30日前，经市民政局登记的社会团体、民办非企业单位均需进行年检。市民政局将根据需要，采取随机抽取的方式，对参检的社会团体、民办非企业单位开展实地年度检查工作。</w:t>
      </w:r>
    </w:p>
    <w:p w:rsidR="00E54D61" w:rsidRPr="00E54D61" w:rsidRDefault="00E54D61"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sidRPr="00E54D61">
        <w:rPr>
          <w:rFonts w:ascii="仿宋_GB2312" w:eastAsia="仿宋_GB2312" w:hint="eastAsia"/>
          <w:color w:val="444444"/>
          <w:sz w:val="32"/>
          <w:szCs w:val="32"/>
        </w:rPr>
        <w:t xml:space="preserve">　　</w:t>
      </w:r>
      <w:r w:rsidRPr="00FA4A2D">
        <w:rPr>
          <w:rFonts w:ascii="仿宋_GB2312" w:eastAsia="仿宋_GB2312" w:hint="eastAsia"/>
          <w:b/>
          <w:color w:val="444444"/>
          <w:sz w:val="32"/>
          <w:szCs w:val="32"/>
        </w:rPr>
        <w:t>二、年检时间</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各社会团体、民办非企业单位应于2017年5月31日前按年检程序完成年度工作报告书的填写、报送工作。</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FA4A2D">
        <w:rPr>
          <w:rFonts w:ascii="仿宋_GB2312" w:eastAsia="仿宋_GB2312" w:hint="eastAsia"/>
          <w:b/>
          <w:color w:val="444444"/>
          <w:sz w:val="32"/>
          <w:szCs w:val="32"/>
        </w:rPr>
        <w:t>三、年检内容</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1.遵守宪法、法律、法规和国家政策情况。</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lastRenderedPageBreak/>
        <w:t xml:space="preserve">　  </w:t>
      </w:r>
      <w:r w:rsidR="00E54D61" w:rsidRPr="00E54D61">
        <w:rPr>
          <w:rFonts w:ascii="仿宋_GB2312" w:eastAsia="仿宋_GB2312" w:hint="eastAsia"/>
          <w:color w:val="444444"/>
          <w:sz w:val="32"/>
          <w:szCs w:val="32"/>
        </w:rPr>
        <w:t>2.登记事项变动及履行登记手续情况。</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3.按照章程开展活动情况。</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4.《民间非营利组织会计制度》执行情况。</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5.财务管理和年度经费收支情况。</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6.党组织的建立情况（专职工作人员中凡有3名以上中共正式党员的必须建立党组织）。</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FA4A2D">
        <w:rPr>
          <w:rFonts w:ascii="仿宋_GB2312" w:eastAsia="仿宋_GB2312" w:hint="eastAsia"/>
          <w:b/>
          <w:color w:val="444444"/>
          <w:sz w:val="32"/>
          <w:szCs w:val="32"/>
        </w:rPr>
        <w:t>四、申报材料</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1.2016年度工作总结和2017年度工作计划。</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2.年度检查报告书[一式叁份，可登录龙岩市民政局网站（http://lymzj.longyan.gov.cn）下载，也可到市民政局社团民非办或行政中心民政窗口领取]。</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3.民办非企业单位必须提交2016年度财务审计报告。财务审计应由有资质的注册会计师事务所审计，并出具财务审计报告书。</w:t>
      </w:r>
    </w:p>
    <w:p w:rsidR="00E54D61" w:rsidRPr="00E54D61" w:rsidRDefault="00E54D61"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sidRPr="00E54D61">
        <w:rPr>
          <w:rFonts w:ascii="仿宋_GB2312" w:eastAsia="仿宋_GB2312" w:hint="eastAsia"/>
          <w:color w:val="444444"/>
          <w:sz w:val="32"/>
          <w:szCs w:val="32"/>
        </w:rPr>
        <w:t xml:space="preserve">　　4.民政部门核发的《登记证书》副本。</w:t>
      </w:r>
    </w:p>
    <w:p w:rsidR="00E54D61" w:rsidRPr="00E54D61" w:rsidRDefault="00E54D61"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sidRPr="00E54D61">
        <w:rPr>
          <w:rFonts w:ascii="仿宋_GB2312" w:eastAsia="仿宋_GB2312" w:hint="eastAsia"/>
          <w:color w:val="444444"/>
          <w:sz w:val="32"/>
          <w:szCs w:val="32"/>
        </w:rPr>
        <w:t xml:space="preserve">　　5.党组织建设情况表（下载方式同上第2条）。</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FA4A2D">
        <w:rPr>
          <w:rFonts w:ascii="仿宋_GB2312" w:eastAsia="仿宋_GB2312" w:hint="eastAsia"/>
          <w:b/>
          <w:color w:val="444444"/>
          <w:sz w:val="32"/>
          <w:szCs w:val="32"/>
        </w:rPr>
        <w:t>五、年检程序</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1.各社会团体、民办非企业单位分别填写《社会团体年度检查报告书》、《民办非企业单位年度检查报告书》、《党组织建设情况表》；</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2.送业务主管单位审查（直接登记的除外），应写明初审意见（即合格、基本合格或不合格）。请各业务主管单位督促所主管的社会团体和民办非企业单位按时参加年度检查，需要实行集中年检的，请及时告知我局社团民非办，并告知所主管的社会团体和民办非企业单位名单，以便安排。</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3.送交龙岩行政服务中心民政窗口审定。</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lastRenderedPageBreak/>
        <w:t xml:space="preserve">　　</w:t>
      </w:r>
      <w:r w:rsidR="00E54D61" w:rsidRPr="00FA4A2D">
        <w:rPr>
          <w:rFonts w:ascii="仿宋_GB2312" w:eastAsia="仿宋_GB2312" w:hint="eastAsia"/>
          <w:b/>
          <w:color w:val="444444"/>
          <w:sz w:val="32"/>
          <w:szCs w:val="32"/>
        </w:rPr>
        <w:t>六、年检标准</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年度检查的结论分为“合格”、“基本合格”和“不合格”三类。</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社会团体、民办非企业单位遵守宪法、法律、法规和国家政策，按照章程开展活动，无违法行为的，确定为“年检合格”；具有下列情形之一的，情节轻微的，确定为“年检基本合格”；情节严重，确定为“年检不合格”：</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（一）违反国家法律、法规和有关政策规定的；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（二）违反规定使用登记证书、印章或者财务凭证的；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（三）本年度未开展业务活动，或者不按照章程的规定进行活动的；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（四）无固定住所或者必要的活动场所的；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（五）内部管理混乱，不能正常开展活动的；</w:t>
      </w:r>
    </w:p>
    <w:p w:rsidR="00E54D61" w:rsidRPr="00E54D61" w:rsidRDefault="00E54D61"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sidRPr="00E54D61">
        <w:rPr>
          <w:rFonts w:ascii="仿宋_GB2312" w:eastAsia="仿宋_GB2312" w:hint="eastAsia"/>
          <w:color w:val="444444"/>
          <w:sz w:val="32"/>
          <w:szCs w:val="32"/>
        </w:rPr>
        <w:t xml:space="preserve">　　（六）拒不接受或者不按照规定接受登记管理机关监督检查或者年检的；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（七）不按照规定办理变更登记、备案登记，修改章程未按规定核准备案的；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（八）财务制度不健全，本年度未执行《民间非营利组织会计制度》，资金来源和使用违反有关规定的；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（九）重大活动不及时报告业务主管单位和登记管理机关，以及被投诉举报的；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（十）侵占、私分、挪用社会组织的资产或者所接受的捐赠、资助的；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（十一）违反国家有关规定收取费用、筹集资金或者接受使用捐赠、资助的；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lastRenderedPageBreak/>
        <w:t xml:space="preserve">　　</w:t>
      </w:r>
      <w:r w:rsidR="00E54D61" w:rsidRPr="00E54D61">
        <w:rPr>
          <w:rFonts w:ascii="仿宋_GB2312" w:eastAsia="仿宋_GB2312" w:hint="eastAsia"/>
          <w:color w:val="444444"/>
          <w:sz w:val="32"/>
          <w:szCs w:val="32"/>
        </w:rPr>
        <w:t>（十二）社会团体未按章程规定及时换届的；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（十三）社会团体对其分支、代表机构疏于管理的；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（十四）民办非企业单位现有净资产低于国家有关行业主管部门规定的最低标准的；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（十五）民办非企业单位违规设立分支机构的；</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（十六）年检中隐瞒真实情况，弄虚作假的。</w:t>
      </w:r>
    </w:p>
    <w:p w:rsidR="00E54D61" w:rsidRPr="00E54D61" w:rsidRDefault="00FA4A2D"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确定为“年检不合格”的社会团体和民办非企业单位，必须在两个月内完成整改（整改期间停止一切活动），并将整改情况书面报我局社团民非办，经审核确已整改纠正的，确定为“年检基本合格”。对不按期整改的，我局将按照《社会团体登记管理条例》、《民办非企业单位登记管理暂行条例》规定将给予相应的行政处罚。</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FA4A2D">
        <w:rPr>
          <w:rFonts w:ascii="仿宋_GB2312" w:eastAsia="仿宋_GB2312" w:hint="eastAsia"/>
          <w:b/>
          <w:color w:val="444444"/>
          <w:sz w:val="32"/>
          <w:szCs w:val="32"/>
        </w:rPr>
        <w:t>七、注意事项</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1.根据《社会团体登记管理条例》和《民办非企业单位登记管理暂行条例》及相关法律法规规定，未参加年检的社会团体和民办非企业单位我局将按有关规定给予相应处罚，直至撤销登记。</w:t>
      </w:r>
    </w:p>
    <w:p w:rsidR="00E54D61" w:rsidRPr="00E54D61" w:rsidRDefault="007F21C2"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Pr>
          <w:rFonts w:ascii="仿宋_GB2312" w:eastAsia="仿宋_GB2312" w:hint="eastAsia"/>
          <w:color w:val="444444"/>
          <w:sz w:val="32"/>
          <w:szCs w:val="32"/>
        </w:rPr>
        <w:t xml:space="preserve">　　</w:t>
      </w:r>
      <w:r w:rsidR="00E54D61" w:rsidRPr="00E54D61">
        <w:rPr>
          <w:rFonts w:ascii="仿宋_GB2312" w:eastAsia="仿宋_GB2312" w:hint="eastAsia"/>
          <w:color w:val="444444"/>
          <w:sz w:val="32"/>
          <w:szCs w:val="32"/>
        </w:rPr>
        <w:t>2.年检结果将在龙岩市民政局网站公布。</w:t>
      </w:r>
    </w:p>
    <w:p w:rsidR="00FA4A2D" w:rsidRDefault="00E54D61" w:rsidP="00FA4A2D">
      <w:pPr>
        <w:pStyle w:val="a4"/>
        <w:widowControl w:val="0"/>
        <w:wordWrap w:val="0"/>
        <w:snapToGrid w:val="0"/>
        <w:spacing w:before="0" w:beforeAutospacing="0" w:after="0" w:afterAutospacing="0" w:line="560" w:lineRule="exact"/>
        <w:jc w:val="both"/>
        <w:rPr>
          <w:rFonts w:ascii="仿宋_GB2312" w:eastAsia="仿宋_GB2312"/>
          <w:color w:val="444444"/>
          <w:sz w:val="32"/>
          <w:szCs w:val="32"/>
        </w:rPr>
      </w:pPr>
      <w:r w:rsidRPr="00E54D61">
        <w:rPr>
          <w:rFonts w:ascii="仿宋_GB2312" w:eastAsia="仿宋_GB2312" w:hint="eastAsia"/>
          <w:color w:val="444444"/>
          <w:sz w:val="32"/>
          <w:szCs w:val="32"/>
        </w:rPr>
        <w:t xml:space="preserve">　　　　</w:t>
      </w:r>
      <w:r w:rsidR="007F21C2">
        <w:rPr>
          <w:rFonts w:ascii="仿宋_GB2312" w:eastAsia="仿宋_GB2312" w:hint="eastAsia"/>
          <w:color w:val="444444"/>
          <w:sz w:val="32"/>
          <w:szCs w:val="32"/>
        </w:rPr>
        <w:t xml:space="preserve">         </w:t>
      </w:r>
    </w:p>
    <w:p w:rsidR="00E54D61" w:rsidRPr="00E54D61" w:rsidRDefault="00E54D61" w:rsidP="00FA4A2D">
      <w:pPr>
        <w:pStyle w:val="a4"/>
        <w:widowControl w:val="0"/>
        <w:wordWrap w:val="0"/>
        <w:snapToGrid w:val="0"/>
        <w:spacing w:before="0" w:beforeAutospacing="0" w:after="0" w:afterAutospacing="0" w:line="560" w:lineRule="exact"/>
        <w:ind w:firstLineChars="150" w:firstLine="480"/>
        <w:jc w:val="both"/>
        <w:rPr>
          <w:rFonts w:ascii="仿宋_GB2312" w:eastAsia="仿宋_GB2312"/>
          <w:color w:val="444444"/>
          <w:sz w:val="32"/>
          <w:szCs w:val="32"/>
        </w:rPr>
      </w:pPr>
      <w:r w:rsidRPr="00E54D61">
        <w:rPr>
          <w:rFonts w:ascii="仿宋_GB2312" w:eastAsia="仿宋_GB2312" w:hint="eastAsia"/>
          <w:color w:val="444444"/>
          <w:sz w:val="32"/>
          <w:szCs w:val="32"/>
        </w:rPr>
        <w:t>联系咨询电话：2529054、3225665、2215370</w:t>
      </w:r>
    </w:p>
    <w:p w:rsidR="00FA4A2D" w:rsidRDefault="00FA4A2D" w:rsidP="00FA4A2D">
      <w:pPr>
        <w:pStyle w:val="a4"/>
        <w:wordWrap w:val="0"/>
        <w:snapToGrid w:val="0"/>
        <w:ind w:firstLineChars="2100" w:firstLine="6720"/>
        <w:contextualSpacing/>
        <w:rPr>
          <w:rFonts w:ascii="仿宋_GB2312" w:eastAsia="仿宋_GB2312"/>
          <w:color w:val="444444"/>
          <w:sz w:val="32"/>
          <w:szCs w:val="32"/>
        </w:rPr>
      </w:pPr>
    </w:p>
    <w:p w:rsidR="00FA4A2D" w:rsidRDefault="00FA4A2D" w:rsidP="00FA4A2D">
      <w:pPr>
        <w:pStyle w:val="a4"/>
        <w:wordWrap w:val="0"/>
        <w:snapToGrid w:val="0"/>
        <w:ind w:firstLineChars="2100" w:firstLine="6720"/>
        <w:contextualSpacing/>
        <w:rPr>
          <w:rFonts w:ascii="仿宋_GB2312" w:eastAsia="仿宋_GB2312"/>
          <w:color w:val="444444"/>
          <w:sz w:val="32"/>
          <w:szCs w:val="32"/>
        </w:rPr>
      </w:pPr>
    </w:p>
    <w:p w:rsidR="00E54D61" w:rsidRPr="00E54D61" w:rsidRDefault="00E54D61" w:rsidP="00FA4A2D">
      <w:pPr>
        <w:pStyle w:val="a4"/>
        <w:wordWrap w:val="0"/>
        <w:snapToGrid w:val="0"/>
        <w:ind w:firstLineChars="2100" w:firstLine="6720"/>
        <w:contextualSpacing/>
        <w:rPr>
          <w:rFonts w:ascii="仿宋_GB2312" w:eastAsia="仿宋_GB2312"/>
          <w:color w:val="444444"/>
          <w:sz w:val="32"/>
          <w:szCs w:val="32"/>
        </w:rPr>
      </w:pPr>
      <w:r w:rsidRPr="00E54D61">
        <w:rPr>
          <w:rFonts w:ascii="仿宋_GB2312" w:eastAsia="仿宋_GB2312" w:hint="eastAsia"/>
          <w:color w:val="444444"/>
          <w:sz w:val="32"/>
          <w:szCs w:val="32"/>
        </w:rPr>
        <w:t>龙岩市民政局</w:t>
      </w:r>
    </w:p>
    <w:p w:rsidR="00E54D61" w:rsidRPr="00E54D61" w:rsidRDefault="00E54D61" w:rsidP="007F21C2">
      <w:pPr>
        <w:pStyle w:val="a4"/>
        <w:wordWrap w:val="0"/>
        <w:snapToGrid w:val="0"/>
        <w:contextualSpacing/>
        <w:rPr>
          <w:rFonts w:ascii="仿宋_GB2312" w:eastAsia="仿宋_GB2312"/>
          <w:color w:val="444444"/>
          <w:sz w:val="32"/>
          <w:szCs w:val="32"/>
        </w:rPr>
      </w:pPr>
      <w:r w:rsidRPr="00E54D61">
        <w:rPr>
          <w:rFonts w:ascii="仿宋_GB2312" w:eastAsia="仿宋_GB2312" w:hint="eastAsia"/>
          <w:color w:val="444444"/>
          <w:sz w:val="32"/>
          <w:szCs w:val="32"/>
        </w:rPr>
        <w:t xml:space="preserve">　　</w:t>
      </w:r>
      <w:r w:rsidRPr="00E54D61">
        <w:rPr>
          <w:rFonts w:eastAsia="仿宋_GB2312" w:hint="eastAsia"/>
          <w:color w:val="444444"/>
          <w:sz w:val="32"/>
          <w:szCs w:val="32"/>
        </w:rPr>
        <w:t>                                     </w:t>
      </w:r>
      <w:r w:rsidRPr="00E54D61">
        <w:rPr>
          <w:rFonts w:ascii="仿宋_GB2312" w:eastAsia="仿宋_GB2312" w:hint="eastAsia"/>
          <w:color w:val="444444"/>
          <w:sz w:val="32"/>
          <w:szCs w:val="32"/>
        </w:rPr>
        <w:t>2017年3月21日</w:t>
      </w:r>
    </w:p>
    <w:p w:rsidR="002D5F64" w:rsidRPr="00E54D61" w:rsidRDefault="002D5F64">
      <w:pPr>
        <w:rPr>
          <w:rFonts w:ascii="仿宋_GB2312" w:eastAsia="仿宋_GB2312" w:hint="eastAsia"/>
          <w:sz w:val="32"/>
          <w:szCs w:val="32"/>
        </w:rPr>
      </w:pPr>
    </w:p>
    <w:sectPr w:rsidR="002D5F64" w:rsidRPr="00E54D61" w:rsidSect="00E54D61">
      <w:pgSz w:w="11906" w:h="16838" w:code="9"/>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D61"/>
    <w:rsid w:val="0000047A"/>
    <w:rsid w:val="002D5F64"/>
    <w:rsid w:val="007F21C2"/>
    <w:rsid w:val="009D27D4"/>
    <w:rsid w:val="00E54D61"/>
    <w:rsid w:val="00ED0E8A"/>
    <w:rsid w:val="00FA4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4D61"/>
    <w:rPr>
      <w:b/>
      <w:bCs/>
    </w:rPr>
  </w:style>
  <w:style w:type="paragraph" w:styleId="a4">
    <w:name w:val="Normal (Web)"/>
    <w:basedOn w:val="a"/>
    <w:uiPriority w:val="99"/>
    <w:semiHidden/>
    <w:unhideWhenUsed/>
    <w:rsid w:val="00E54D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1488103">
      <w:bodyDiv w:val="1"/>
      <w:marLeft w:val="0"/>
      <w:marRight w:val="0"/>
      <w:marTop w:val="0"/>
      <w:marBottom w:val="0"/>
      <w:divBdr>
        <w:top w:val="none" w:sz="0" w:space="0" w:color="auto"/>
        <w:left w:val="none" w:sz="0" w:space="0" w:color="auto"/>
        <w:bottom w:val="none" w:sz="0" w:space="0" w:color="auto"/>
        <w:right w:val="none" w:sz="0" w:space="0" w:color="auto"/>
      </w:divBdr>
      <w:divsChild>
        <w:div w:id="112946788">
          <w:marLeft w:val="0"/>
          <w:marRight w:val="0"/>
          <w:marTop w:val="0"/>
          <w:marBottom w:val="0"/>
          <w:divBdr>
            <w:top w:val="none" w:sz="0" w:space="0" w:color="auto"/>
            <w:left w:val="none" w:sz="0" w:space="0" w:color="auto"/>
            <w:bottom w:val="none" w:sz="0" w:space="0" w:color="auto"/>
            <w:right w:val="none" w:sz="0" w:space="0" w:color="auto"/>
          </w:divBdr>
          <w:divsChild>
            <w:div w:id="64689714">
              <w:marLeft w:val="0"/>
              <w:marRight w:val="0"/>
              <w:marTop w:val="0"/>
              <w:marBottom w:val="0"/>
              <w:divBdr>
                <w:top w:val="none" w:sz="0" w:space="0" w:color="auto"/>
                <w:left w:val="none" w:sz="0" w:space="0" w:color="auto"/>
                <w:bottom w:val="none" w:sz="0" w:space="0" w:color="auto"/>
                <w:right w:val="none" w:sz="0" w:space="0" w:color="auto"/>
              </w:divBdr>
              <w:divsChild>
                <w:div w:id="17531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308">
      <w:bodyDiv w:val="1"/>
      <w:marLeft w:val="0"/>
      <w:marRight w:val="0"/>
      <w:marTop w:val="0"/>
      <w:marBottom w:val="0"/>
      <w:divBdr>
        <w:top w:val="none" w:sz="0" w:space="0" w:color="auto"/>
        <w:left w:val="none" w:sz="0" w:space="0" w:color="auto"/>
        <w:bottom w:val="none" w:sz="0" w:space="0" w:color="auto"/>
        <w:right w:val="none" w:sz="0" w:space="0" w:color="auto"/>
      </w:divBdr>
      <w:divsChild>
        <w:div w:id="842361375">
          <w:marLeft w:val="0"/>
          <w:marRight w:val="0"/>
          <w:marTop w:val="0"/>
          <w:marBottom w:val="0"/>
          <w:divBdr>
            <w:top w:val="none" w:sz="0" w:space="0" w:color="auto"/>
            <w:left w:val="none" w:sz="0" w:space="0" w:color="auto"/>
            <w:bottom w:val="none" w:sz="0" w:space="0" w:color="auto"/>
            <w:right w:val="none" w:sz="0" w:space="0" w:color="auto"/>
          </w:divBdr>
          <w:divsChild>
            <w:div w:id="550069773">
              <w:marLeft w:val="0"/>
              <w:marRight w:val="0"/>
              <w:marTop w:val="0"/>
              <w:marBottom w:val="0"/>
              <w:divBdr>
                <w:top w:val="none" w:sz="0" w:space="0" w:color="auto"/>
                <w:left w:val="none" w:sz="0" w:space="0" w:color="auto"/>
                <w:bottom w:val="none" w:sz="0" w:space="0" w:color="auto"/>
                <w:right w:val="none" w:sz="0" w:space="0" w:color="auto"/>
              </w:divBdr>
              <w:divsChild>
                <w:div w:id="1856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287</Words>
  <Characters>1640</Characters>
  <Application>Microsoft Office Word</Application>
  <DocSecurity>0</DocSecurity>
  <Lines>13</Lines>
  <Paragraphs>3</Paragraphs>
  <ScaleCrop>false</ScaleCrop>
  <Company>CHINA</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2017-04-19T08:14:00Z</dcterms:created>
  <dcterms:modified xsi:type="dcterms:W3CDTF">2017-04-19T08:40:00Z</dcterms:modified>
</cp:coreProperties>
</file>